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FD4" w:rsidRDefault="00FC5FD4" w:rsidP="00B97F12">
      <w:pPr>
        <w:ind w:left="0" w:firstLine="0"/>
      </w:pPr>
    </w:p>
    <w:p w:rsidR="00B97F12" w:rsidRPr="00B97F12" w:rsidRDefault="008F6763" w:rsidP="00B97F12">
      <w:pPr>
        <w:numPr>
          <w:ilvl w:val="0"/>
          <w:numId w:val="1"/>
        </w:numPr>
        <w:spacing w:before="100" w:beforeAutospacing="1" w:after="100" w:afterAutospacing="1" w:line="240" w:lineRule="auto"/>
        <w:rPr>
          <w:rFonts w:eastAsia="Times New Roman"/>
          <w:u w:val="none"/>
        </w:rPr>
      </w:pPr>
      <w:hyperlink r:id="rId5" w:tooltip="United States" w:history="1">
        <w:r w:rsidR="00B97F12" w:rsidRPr="00B97F12">
          <w:rPr>
            <w:rFonts w:eastAsia="Times New Roman"/>
            <w:color w:val="0000FF"/>
            <w:u w:val="single"/>
          </w:rPr>
          <w:t>United States</w:t>
        </w:r>
      </w:hyperlink>
    </w:p>
    <w:p w:rsidR="00B97F12" w:rsidRPr="00B97F12" w:rsidRDefault="008F6763" w:rsidP="00B97F12">
      <w:pPr>
        <w:numPr>
          <w:ilvl w:val="0"/>
          <w:numId w:val="1"/>
        </w:numPr>
        <w:spacing w:before="100" w:beforeAutospacing="1" w:after="100" w:afterAutospacing="1" w:line="240" w:lineRule="auto"/>
        <w:rPr>
          <w:rFonts w:eastAsia="Times New Roman"/>
          <w:u w:val="none"/>
        </w:rPr>
      </w:pPr>
      <w:hyperlink r:id="rId6" w:tooltip="US Supreme Court" w:history="1">
        <w:r w:rsidR="00B97F12" w:rsidRPr="00B97F12">
          <w:rPr>
            <w:rFonts w:eastAsia="Times New Roman"/>
            <w:color w:val="0000FF"/>
            <w:u w:val="single"/>
          </w:rPr>
          <w:t>US Supreme Court</w:t>
        </w:r>
      </w:hyperlink>
    </w:p>
    <w:p w:rsidR="00B97F12" w:rsidRPr="00B97F12" w:rsidRDefault="00B97F12" w:rsidP="00B97F12">
      <w:pPr>
        <w:numPr>
          <w:ilvl w:val="0"/>
          <w:numId w:val="1"/>
        </w:numPr>
        <w:spacing w:before="100" w:beforeAutospacing="1" w:after="100" w:afterAutospacing="1" w:line="240" w:lineRule="auto"/>
        <w:rPr>
          <w:rFonts w:eastAsia="Times New Roman"/>
          <w:u w:val="none"/>
        </w:rPr>
      </w:pPr>
      <w:r w:rsidRPr="00B97F12">
        <w:rPr>
          <w:rFonts w:eastAsia="Times New Roman"/>
          <w:u w:val="none"/>
        </w:rPr>
        <w:t xml:space="preserve">SULLIVAN v. STATE OF TEXAS </w:t>
      </w:r>
    </w:p>
    <w:p w:rsidR="00B97F12" w:rsidRPr="00B97F12" w:rsidRDefault="00B97F12" w:rsidP="00B97F12">
      <w:pPr>
        <w:spacing w:before="100" w:beforeAutospacing="1" w:after="100" w:afterAutospacing="1" w:line="240" w:lineRule="auto"/>
        <w:ind w:left="0" w:firstLine="0"/>
        <w:outlineLvl w:val="0"/>
        <w:rPr>
          <w:rFonts w:eastAsia="Times New Roman"/>
          <w:b/>
          <w:bCs/>
          <w:kern w:val="36"/>
          <w:sz w:val="48"/>
          <w:szCs w:val="48"/>
          <w:u w:val="none"/>
        </w:rPr>
      </w:pPr>
      <w:r w:rsidRPr="00B97F12">
        <w:rPr>
          <w:rFonts w:eastAsia="Times New Roman"/>
          <w:b/>
          <w:bCs/>
          <w:kern w:val="36"/>
          <w:sz w:val="48"/>
          <w:szCs w:val="48"/>
          <w:u w:val="none"/>
        </w:rPr>
        <w:t xml:space="preserve">SULLIVAN v. STATE OF TEXAS </w:t>
      </w:r>
    </w:p>
    <w:p w:rsidR="00B97F12" w:rsidRPr="00B97F12" w:rsidRDefault="008F6763" w:rsidP="00B97F12">
      <w:pPr>
        <w:spacing w:before="100" w:beforeAutospacing="1" w:after="100" w:afterAutospacing="1" w:line="240" w:lineRule="auto"/>
        <w:ind w:left="0" w:firstLine="0"/>
        <w:jc w:val="center"/>
        <w:outlineLvl w:val="1"/>
        <w:rPr>
          <w:rFonts w:eastAsia="Times New Roman"/>
          <w:b/>
          <w:bCs/>
          <w:sz w:val="22"/>
          <w:szCs w:val="36"/>
          <w:u w:val="none"/>
        </w:rPr>
      </w:pPr>
      <w:hyperlink r:id="rId7" w:history="1">
        <w:r w:rsidR="00B97F12" w:rsidRPr="00B97F12">
          <w:rPr>
            <w:rStyle w:val="Hyperlink"/>
            <w:rFonts w:eastAsia="Times New Roman"/>
            <w:b/>
            <w:bCs/>
            <w:sz w:val="22"/>
            <w:szCs w:val="36"/>
          </w:rPr>
          <w:t>http://caselaw.findlaw.com/us-supreme-court/207/416.html</w:t>
        </w:r>
      </w:hyperlink>
      <w:r w:rsidR="00B97F12" w:rsidRPr="00B97F12">
        <w:rPr>
          <w:rFonts w:eastAsia="Times New Roman"/>
          <w:b/>
          <w:bCs/>
          <w:sz w:val="22"/>
          <w:szCs w:val="36"/>
          <w:u w:val="none"/>
        </w:rPr>
        <w:t xml:space="preserve"> </w:t>
      </w:r>
    </w:p>
    <w:p w:rsidR="00B97F12" w:rsidRPr="00B97F12" w:rsidRDefault="00B97F12" w:rsidP="00B97F12">
      <w:pPr>
        <w:spacing w:before="100" w:beforeAutospacing="1" w:after="100" w:afterAutospacing="1" w:line="240" w:lineRule="auto"/>
        <w:ind w:left="0" w:firstLine="0"/>
        <w:jc w:val="center"/>
        <w:outlineLvl w:val="1"/>
        <w:rPr>
          <w:rFonts w:eastAsia="Times New Roman"/>
          <w:b/>
          <w:bCs/>
          <w:sz w:val="36"/>
          <w:szCs w:val="36"/>
          <w:u w:val="none"/>
        </w:rPr>
      </w:pPr>
      <w:r w:rsidRPr="00B97F12">
        <w:rPr>
          <w:rFonts w:eastAsia="Times New Roman"/>
          <w:b/>
          <w:bCs/>
          <w:sz w:val="36"/>
          <w:szCs w:val="36"/>
          <w:u w:val="none"/>
        </w:rPr>
        <w:t>United States Supreme Court</w:t>
      </w:r>
    </w:p>
    <w:p w:rsidR="00B97F12" w:rsidRPr="00B97F12" w:rsidRDefault="00B97F12" w:rsidP="00B97F12">
      <w:pPr>
        <w:spacing w:before="100" w:beforeAutospacing="1" w:after="100" w:afterAutospacing="1" w:line="240" w:lineRule="auto"/>
        <w:ind w:left="0" w:firstLine="0"/>
        <w:jc w:val="center"/>
        <w:outlineLvl w:val="2"/>
        <w:rPr>
          <w:rFonts w:eastAsia="Times New Roman"/>
          <w:b/>
          <w:bCs/>
          <w:sz w:val="27"/>
          <w:szCs w:val="27"/>
          <w:u w:val="none"/>
        </w:rPr>
      </w:pPr>
      <w:r w:rsidRPr="00B97F12">
        <w:rPr>
          <w:rFonts w:eastAsia="Times New Roman"/>
          <w:b/>
          <w:bCs/>
          <w:sz w:val="27"/>
          <w:szCs w:val="27"/>
          <w:u w:val="none"/>
        </w:rPr>
        <w:t>SULLIVAN v. STATE OF TEXAS, (1908)</w:t>
      </w:r>
    </w:p>
    <w:p w:rsidR="00B97F12" w:rsidRPr="00B97F12" w:rsidRDefault="00B97F12" w:rsidP="00B97F12">
      <w:pPr>
        <w:spacing w:before="100" w:beforeAutospacing="1" w:after="100" w:afterAutospacing="1" w:line="240" w:lineRule="auto"/>
        <w:ind w:left="0" w:firstLine="0"/>
        <w:jc w:val="center"/>
        <w:outlineLvl w:val="2"/>
        <w:rPr>
          <w:rFonts w:eastAsia="Times New Roman"/>
          <w:b/>
          <w:bCs/>
          <w:sz w:val="27"/>
          <w:szCs w:val="27"/>
          <w:u w:val="none"/>
        </w:rPr>
      </w:pPr>
      <w:r w:rsidRPr="00B97F12">
        <w:rPr>
          <w:rFonts w:eastAsia="Times New Roman"/>
          <w:b/>
          <w:bCs/>
          <w:sz w:val="27"/>
          <w:szCs w:val="27"/>
          <w:u w:val="none"/>
        </w:rPr>
        <w:t>No. 91</w:t>
      </w:r>
    </w:p>
    <w:p w:rsidR="00B97F12" w:rsidRPr="00B97F12" w:rsidRDefault="00B97F12" w:rsidP="00B97F12">
      <w:pPr>
        <w:spacing w:before="100" w:beforeAutospacing="1" w:after="100" w:afterAutospacing="1" w:line="240" w:lineRule="auto"/>
        <w:ind w:left="0" w:firstLine="0"/>
        <w:jc w:val="center"/>
        <w:outlineLvl w:val="2"/>
        <w:rPr>
          <w:rFonts w:eastAsia="Times New Roman"/>
          <w:b/>
          <w:bCs/>
          <w:sz w:val="27"/>
          <w:szCs w:val="27"/>
          <w:u w:val="none"/>
        </w:rPr>
      </w:pPr>
      <w:r w:rsidRPr="00B97F12">
        <w:rPr>
          <w:rFonts w:eastAsia="Times New Roman"/>
          <w:b/>
          <w:bCs/>
          <w:sz w:val="27"/>
          <w:szCs w:val="27"/>
          <w:u w:val="none"/>
        </w:rPr>
        <w:t>Argued: December 20, 1907    Decided: January 6, 1908</w:t>
      </w:r>
    </w:p>
    <w:p w:rsidR="00B97F12" w:rsidRPr="00B97F12" w:rsidRDefault="00B97F12" w:rsidP="00B97F12">
      <w:pPr>
        <w:spacing w:before="100" w:beforeAutospacing="1" w:after="100" w:afterAutospacing="1" w:line="240" w:lineRule="auto"/>
        <w:ind w:left="0" w:firstLine="0"/>
        <w:rPr>
          <w:rFonts w:eastAsia="Times New Roman"/>
          <w:u w:val="none"/>
        </w:rPr>
      </w:pPr>
      <w:r w:rsidRPr="00B97F12">
        <w:rPr>
          <w:rFonts w:eastAsia="Times New Roman"/>
          <w:u w:val="none"/>
        </w:rPr>
        <w:t xml:space="preserve">This case comes to us from a state court and our jurisdiction is invoked on the ground of a law of the state charged to work an impairment of the obligation of a contract. The facts are that in 1834 the Mexican state of Tamaulipas granted to Pedro de la Garza a tract of land. The grant, signed by the governor, recited that the grantee had paid the appraised value, $204; that the grant contained '6 1/2 leagues of pasture land for large cattle, comprehended in the boundaries, angles, and demarcations which appear in the attached map, countersigned with the seal of this government, signed with a rubric by my secretary, which, for greater distinctness, </w:t>
      </w:r>
      <w:bookmarkStart w:id="0" w:name="417"/>
      <w:r w:rsidRPr="00B97F12">
        <w:rPr>
          <w:rFonts w:eastAsia="Times New Roman"/>
          <w:color w:val="005500"/>
          <w:sz w:val="20"/>
          <w:szCs w:val="20"/>
          <w:u w:val="none"/>
        </w:rPr>
        <w:t xml:space="preserve">[207 U.S. 416, 417] </w:t>
      </w:r>
      <w:bookmarkEnd w:id="0"/>
      <w:r w:rsidRPr="00B97F12">
        <w:rPr>
          <w:rFonts w:eastAsia="Times New Roman"/>
          <w:color w:val="005500"/>
          <w:sz w:val="20"/>
          <w:szCs w:val="20"/>
          <w:u w:val="none"/>
        </w:rPr>
        <w:t xml:space="preserve">  </w:t>
      </w:r>
      <w:r w:rsidRPr="00B97F12">
        <w:rPr>
          <w:rFonts w:eastAsia="Times New Roman"/>
          <w:u w:val="none"/>
        </w:rPr>
        <w:t xml:space="preserve">are set out in the present title in the following mode: El Alcatraz and San Antonio of the waterfall, east to west on the north side; San Antonio and the Sacramento, north to south on the west; Sacramento and San Francisco, west to east on the south; San Francisco, San Pedro, and El Alcatraz, south to north on the east. The pasture land is bounded on the north by Los Olmos creek, and on the rest of the sides by vacant lands.' </w:t>
      </w:r>
    </w:p>
    <w:p w:rsidR="00B97F12" w:rsidRPr="00B97F12" w:rsidRDefault="00B97F12" w:rsidP="00B97F12">
      <w:pPr>
        <w:spacing w:before="100" w:beforeAutospacing="1" w:after="100" w:afterAutospacing="1" w:line="240" w:lineRule="auto"/>
        <w:ind w:left="0" w:firstLine="0"/>
        <w:rPr>
          <w:rFonts w:eastAsia="Times New Roman"/>
          <w:u w:val="none"/>
        </w:rPr>
      </w:pPr>
      <w:r w:rsidRPr="00B97F12">
        <w:rPr>
          <w:rFonts w:eastAsia="Times New Roman"/>
          <w:u w:val="none"/>
        </w:rPr>
        <w:t xml:space="preserve">Accompanying the grant was a plat showing an irregular hexagon and a survey made by Antonio Canales, as follows: </w:t>
      </w:r>
    </w:p>
    <w:p w:rsidR="00B97F12" w:rsidRPr="00B97F12" w:rsidRDefault="00B97F12" w:rsidP="00B97F12">
      <w:pPr>
        <w:spacing w:before="100" w:beforeAutospacing="1" w:after="100" w:afterAutospacing="1" w:line="240" w:lineRule="auto"/>
        <w:ind w:left="0" w:firstLine="0"/>
        <w:rPr>
          <w:rFonts w:eastAsia="Times New Roman"/>
          <w:u w:val="none"/>
        </w:rPr>
      </w:pPr>
      <w:r w:rsidRPr="00B97F12">
        <w:rPr>
          <w:rFonts w:eastAsia="Times New Roman"/>
          <w:u w:val="none"/>
        </w:rPr>
        <w:t xml:space="preserve">The inclination to the southeast of the Olmos creek figured in the survey of the irregular hexagon, which appears depicted, which contains 6 leagues of pasture land for large cattle and 20,782,500 square varas according to the units fixed by the law of the state for agrarian measures. The angular boundaries and most notable places which were defined were the following: A, boundary of the Alcatraz; B, boundary of San Antonio of the waterfall; C, boundary of Sacramento; D, boundary of San Francisco; r, lateral boundary of this pasture and angular of the Santa Rosa de Abajo, called San Pedro; e, lake of the sheep pen; m, n, ponds and heights of the waterfall; o, the little pond. The rectangle h, </w:t>
      </w:r>
      <w:proofErr w:type="spellStart"/>
      <w:r w:rsidRPr="00B97F12">
        <w:rPr>
          <w:rFonts w:eastAsia="Times New Roman"/>
          <w:u w:val="none"/>
        </w:rPr>
        <w:t>i</w:t>
      </w:r>
      <w:proofErr w:type="spellEnd"/>
      <w:r w:rsidRPr="00B97F12">
        <w:rPr>
          <w:rFonts w:eastAsia="Times New Roman"/>
          <w:u w:val="none"/>
        </w:rPr>
        <w:t xml:space="preserve">, g, l was ceded to this pasture by citizen Pedro </w:t>
      </w:r>
      <w:proofErr w:type="spellStart"/>
      <w:r w:rsidRPr="00B97F12">
        <w:rPr>
          <w:rFonts w:eastAsia="Times New Roman"/>
          <w:u w:val="none"/>
        </w:rPr>
        <w:t>Villareal</w:t>
      </w:r>
      <w:proofErr w:type="spellEnd"/>
      <w:r w:rsidRPr="00B97F12">
        <w:rPr>
          <w:rFonts w:eastAsia="Times New Roman"/>
          <w:u w:val="none"/>
        </w:rPr>
        <w:t xml:space="preserve">, of which it was defined in the terms which appear in the file of this survey, A. M. B., the Olmos creek. The survey was made with the greatest exactness, </w:t>
      </w:r>
      <w:proofErr w:type="spellStart"/>
      <w:r w:rsidRPr="00B97F12">
        <w:rPr>
          <w:rFonts w:eastAsia="Times New Roman"/>
          <w:u w:val="none"/>
        </w:rPr>
        <w:t>remeasuring</w:t>
      </w:r>
      <w:proofErr w:type="spellEnd"/>
      <w:r w:rsidRPr="00B97F12">
        <w:rPr>
          <w:rFonts w:eastAsia="Times New Roman"/>
          <w:u w:val="none"/>
        </w:rPr>
        <w:t xml:space="preserve"> the cord every half league and correcting the 10 leagues of declination to the northeast, which the compass needle has in these lands. This pasture is bounded on the north by the creek, on the east by the pasture of </w:t>
      </w:r>
      <w:proofErr w:type="spellStart"/>
      <w:r w:rsidRPr="00B97F12">
        <w:rPr>
          <w:rFonts w:eastAsia="Times New Roman"/>
          <w:u w:val="none"/>
        </w:rPr>
        <w:t>Paistle</w:t>
      </w:r>
      <w:proofErr w:type="spellEnd"/>
      <w:r w:rsidRPr="00B97F12">
        <w:rPr>
          <w:rFonts w:eastAsia="Times New Roman"/>
          <w:u w:val="none"/>
        </w:rPr>
        <w:t xml:space="preserve">, and on the rest by vacant lands. </w:t>
      </w:r>
    </w:p>
    <w:p w:rsidR="00B97F12" w:rsidRDefault="00B97F12" w:rsidP="00B97F12">
      <w:pPr>
        <w:spacing w:before="100" w:beforeAutospacing="1" w:after="100" w:afterAutospacing="1" w:line="240" w:lineRule="auto"/>
        <w:ind w:left="0" w:firstLine="0"/>
        <w:rPr>
          <w:rFonts w:eastAsia="Times New Roman"/>
          <w:u w:val="none"/>
        </w:rPr>
      </w:pPr>
      <w:proofErr w:type="spellStart"/>
      <w:r w:rsidRPr="00B97F12">
        <w:rPr>
          <w:rFonts w:eastAsia="Times New Roman"/>
          <w:u w:val="none"/>
        </w:rPr>
        <w:t>Carmargo</w:t>
      </w:r>
      <w:proofErr w:type="spellEnd"/>
      <w:r w:rsidRPr="00B97F12">
        <w:rPr>
          <w:rFonts w:eastAsia="Times New Roman"/>
          <w:u w:val="none"/>
        </w:rPr>
        <w:t xml:space="preserve">, Dec. 5th, 1832 </w:t>
      </w:r>
    </w:p>
    <w:p w:rsidR="0001150B" w:rsidRDefault="0001150B" w:rsidP="00B97F12">
      <w:pPr>
        <w:spacing w:before="100" w:beforeAutospacing="1" w:after="100" w:afterAutospacing="1" w:line="240" w:lineRule="auto"/>
        <w:ind w:left="0" w:firstLine="0"/>
        <w:rPr>
          <w:rFonts w:eastAsia="Times New Roman"/>
          <w:u w:val="none"/>
        </w:rPr>
      </w:pPr>
    </w:p>
    <w:p w:rsidR="0001150B" w:rsidRDefault="0001150B" w:rsidP="00B97F12">
      <w:pPr>
        <w:spacing w:before="100" w:beforeAutospacing="1" w:after="100" w:afterAutospacing="1" w:line="240" w:lineRule="auto"/>
        <w:ind w:left="0" w:firstLine="0"/>
        <w:rPr>
          <w:rFonts w:eastAsia="Times New Roman"/>
          <w:u w:val="none"/>
        </w:rPr>
      </w:pPr>
    </w:p>
    <w:p w:rsidR="0001150B" w:rsidRPr="00B97F12" w:rsidRDefault="0001150B" w:rsidP="00B97F12">
      <w:pPr>
        <w:spacing w:before="100" w:beforeAutospacing="1" w:after="100" w:afterAutospacing="1" w:line="240" w:lineRule="auto"/>
        <w:ind w:left="0" w:firstLine="0"/>
        <w:rPr>
          <w:rFonts w:eastAsia="Times New Roman"/>
          <w:u w:val="none"/>
        </w:rPr>
      </w:pPr>
    </w:p>
    <w:p w:rsidR="00B97F12" w:rsidRPr="00B97F12" w:rsidRDefault="00B97F12" w:rsidP="00B97F12">
      <w:pPr>
        <w:spacing w:before="100" w:beforeAutospacing="1" w:after="100" w:afterAutospacing="1" w:line="240" w:lineRule="auto"/>
        <w:ind w:left="0" w:firstLine="0"/>
        <w:rPr>
          <w:rFonts w:eastAsia="Times New Roman"/>
          <w:u w:val="none"/>
        </w:rPr>
      </w:pPr>
      <w:r w:rsidRPr="00B97F12">
        <w:rPr>
          <w:rFonts w:eastAsia="Times New Roman"/>
          <w:u w:val="none"/>
        </w:rPr>
        <w:t xml:space="preserve">Antonio Canales. </w:t>
      </w:r>
    </w:p>
    <w:p w:rsidR="00B97F12" w:rsidRPr="00B97F12" w:rsidRDefault="00B97F12" w:rsidP="00B97F12">
      <w:pPr>
        <w:spacing w:before="100" w:beforeAutospacing="1" w:after="100" w:afterAutospacing="1" w:line="240" w:lineRule="auto"/>
        <w:ind w:left="0" w:firstLine="0"/>
        <w:rPr>
          <w:rFonts w:eastAsia="Times New Roman"/>
          <w:u w:val="none"/>
        </w:rPr>
      </w:pPr>
      <w:r w:rsidRPr="00B97F12">
        <w:rPr>
          <w:rFonts w:eastAsia="Times New Roman"/>
          <w:u w:val="none"/>
        </w:rPr>
        <w:t xml:space="preserve">Thereafter Tamaulipas became a part of Texas, and that state, on February 10, 1852, passed an act confirming this among other grants. The act of confirmation, so far as is material, provided by 1 'that the state of Texas hereby relinquishes </w:t>
      </w:r>
      <w:bookmarkStart w:id="1" w:name="418"/>
      <w:r w:rsidRPr="00B97F12">
        <w:rPr>
          <w:rFonts w:eastAsia="Times New Roman"/>
          <w:color w:val="005500"/>
          <w:sz w:val="20"/>
          <w:szCs w:val="20"/>
          <w:u w:val="none"/>
        </w:rPr>
        <w:t xml:space="preserve">[207 U.S. 416, 418] </w:t>
      </w:r>
      <w:bookmarkEnd w:id="1"/>
      <w:r w:rsidRPr="00B97F12">
        <w:rPr>
          <w:rFonts w:eastAsia="Times New Roman"/>
          <w:color w:val="005500"/>
          <w:sz w:val="20"/>
          <w:szCs w:val="20"/>
          <w:u w:val="none"/>
        </w:rPr>
        <w:t xml:space="preserve">  </w:t>
      </w:r>
      <w:r w:rsidRPr="00B97F12">
        <w:rPr>
          <w:rFonts w:eastAsia="Times New Roman"/>
          <w:u w:val="none"/>
        </w:rPr>
        <w:t xml:space="preserve">all her right and interest in the following-described lands to the original grantees thereof, their heirs and legal assigns, to wit: County of Starr . . . (103) Pedro de la Garza, 6 1/2 leagues, called 'Santa Rosa' . . .' Section 2 of the act is as follows: </w:t>
      </w:r>
    </w:p>
    <w:p w:rsidR="00B97F12" w:rsidRPr="00B97F12" w:rsidRDefault="00B97F12" w:rsidP="00B97F12">
      <w:pPr>
        <w:spacing w:line="240" w:lineRule="auto"/>
        <w:ind w:left="720" w:firstLine="0"/>
        <w:rPr>
          <w:rFonts w:eastAsia="Times New Roman"/>
          <w:u w:val="none"/>
        </w:rPr>
      </w:pPr>
      <w:r w:rsidRPr="00B97F12">
        <w:rPr>
          <w:rFonts w:eastAsia="Times New Roman"/>
          <w:u w:val="none"/>
        </w:rPr>
        <w:t xml:space="preserve">'Sec. 2. That it shall be the duty of those claiming any of the lands named in this act to have the same surveyed by the district or county surveyor of the county in which the same may be situated, and, upon the return of the field notes thereof to the General Land Office, the Commissioner is hereby authorized and required to have the same plotted on the maps of his office, and issue patents for the same in accordance with existing laws; provided, that no patent shall issue for a less amount than the original grant. That the owners of said lands shall be required to pay the taxes due on the same, from the date of the organization of the respective counties herein mentioned; which taxes shall be paid and legal vouchers for the same exhibited to the Commissioner of the General Land Office before the patent to the same shall issue.' </w:t>
      </w:r>
    </w:p>
    <w:p w:rsidR="00B97F12" w:rsidRPr="00B97F12" w:rsidRDefault="00B97F12" w:rsidP="00B97F12">
      <w:pPr>
        <w:spacing w:before="100" w:beforeAutospacing="1" w:after="100" w:afterAutospacing="1" w:line="240" w:lineRule="auto"/>
        <w:ind w:left="0" w:firstLine="0"/>
        <w:rPr>
          <w:rFonts w:eastAsia="Times New Roman"/>
          <w:u w:val="none"/>
        </w:rPr>
      </w:pPr>
      <w:r w:rsidRPr="00B97F12">
        <w:rPr>
          <w:rFonts w:eastAsia="Times New Roman"/>
          <w:u w:val="none"/>
        </w:rPr>
        <w:t xml:space="preserve">In May, 1859, Felix A. Blucher, a deputy district surveyor of the district, made a survey, the field notes and a </w:t>
      </w:r>
      <w:proofErr w:type="spellStart"/>
      <w:r w:rsidRPr="00B97F12">
        <w:rPr>
          <w:rFonts w:eastAsia="Times New Roman"/>
          <w:u w:val="none"/>
        </w:rPr>
        <w:t>plat</w:t>
      </w:r>
      <w:proofErr w:type="spellEnd"/>
      <w:r w:rsidRPr="00B97F12">
        <w:rPr>
          <w:rFonts w:eastAsia="Times New Roman"/>
          <w:u w:val="none"/>
        </w:rPr>
        <w:t xml:space="preserve"> of which were in August, 1869, filed in the General Land Office. The field notes commenced with the statement: </w:t>
      </w:r>
    </w:p>
    <w:p w:rsidR="00B97F12" w:rsidRPr="00B97F12" w:rsidRDefault="00B97F12" w:rsidP="00B97F12">
      <w:pPr>
        <w:spacing w:line="240" w:lineRule="auto"/>
        <w:ind w:left="720" w:firstLine="0"/>
        <w:rPr>
          <w:rFonts w:eastAsia="Times New Roman"/>
          <w:u w:val="none"/>
        </w:rPr>
      </w:pPr>
      <w:r w:rsidRPr="00B97F12">
        <w:rPr>
          <w:rFonts w:eastAsia="Times New Roman"/>
          <w:u w:val="none"/>
        </w:rPr>
        <w:t xml:space="preserve">'Field notes of a survey of 8 leagues and 12 labors of land made for Wm. G. Hale and F. J. Parker, the </w:t>
      </w:r>
      <w:proofErr w:type="spellStart"/>
      <w:r w:rsidRPr="00B97F12">
        <w:rPr>
          <w:rFonts w:eastAsia="Times New Roman"/>
          <w:u w:val="none"/>
        </w:rPr>
        <w:t>assigness</w:t>
      </w:r>
      <w:proofErr w:type="spellEnd"/>
      <w:r w:rsidRPr="00B97F12">
        <w:rPr>
          <w:rFonts w:eastAsia="Times New Roman"/>
          <w:u w:val="none"/>
        </w:rPr>
        <w:t xml:space="preserve"> of Pedro de la Garza, this being the quantity of land to which they are entitled by virtue of a grant from the state of Tamaulipas dated on the 3d day of July, A. D. 1834. Surveyed in accordance with an act of the legislature of the state of Texas, approved </w:t>
      </w:r>
      <w:proofErr w:type="spellStart"/>
      <w:r w:rsidRPr="00B97F12">
        <w:rPr>
          <w:rFonts w:eastAsia="Times New Roman"/>
          <w:u w:val="none"/>
        </w:rPr>
        <w:t>Feb'y</w:t>
      </w:r>
      <w:proofErr w:type="spellEnd"/>
      <w:r w:rsidRPr="00B97F12">
        <w:rPr>
          <w:rFonts w:eastAsia="Times New Roman"/>
          <w:u w:val="none"/>
        </w:rPr>
        <w:t xml:space="preserve"> 10th, 1852, and entitled 'An Act to Relinquish the Right of the State to Certain Lands Therein Named, This Being Part of Confirmation Numbered 103 for the County of Starr in Said Act." </w:t>
      </w:r>
    </w:p>
    <w:p w:rsidR="00B97F12" w:rsidRPr="00B97F12" w:rsidRDefault="00B97F12" w:rsidP="00B97F12">
      <w:pPr>
        <w:spacing w:before="100" w:beforeAutospacing="1" w:after="100" w:afterAutospacing="1" w:line="240" w:lineRule="auto"/>
        <w:ind w:left="0" w:firstLine="0"/>
        <w:rPr>
          <w:rFonts w:eastAsia="Times New Roman"/>
          <w:u w:val="none"/>
        </w:rPr>
      </w:pPr>
      <w:r w:rsidRPr="00B97F12">
        <w:rPr>
          <w:rFonts w:eastAsia="Times New Roman"/>
          <w:u w:val="none"/>
        </w:rPr>
        <w:t xml:space="preserve">This survey was not approved, and the field notes were indorsed by the Commissioner of the General Land Office in these words: 'Closes partly all but the approximate area </w:t>
      </w:r>
      <w:bookmarkStart w:id="2" w:name="419"/>
      <w:r w:rsidRPr="00B97F12">
        <w:rPr>
          <w:rFonts w:eastAsia="Times New Roman"/>
          <w:color w:val="005500"/>
          <w:sz w:val="20"/>
          <w:szCs w:val="20"/>
          <w:u w:val="none"/>
        </w:rPr>
        <w:t xml:space="preserve">[207 U.S. 416, 419] </w:t>
      </w:r>
      <w:bookmarkEnd w:id="2"/>
      <w:r w:rsidRPr="00B97F12">
        <w:rPr>
          <w:rFonts w:eastAsia="Times New Roman"/>
          <w:color w:val="005500"/>
          <w:sz w:val="20"/>
          <w:szCs w:val="20"/>
          <w:u w:val="none"/>
        </w:rPr>
        <w:t xml:space="preserve">  </w:t>
      </w:r>
      <w:r w:rsidRPr="00B97F12">
        <w:rPr>
          <w:rFonts w:eastAsia="Times New Roman"/>
          <w:u w:val="none"/>
        </w:rPr>
        <w:t xml:space="preserve">found with apportioning errors is 267,552,959 sq. vrs.-10 leagues, 17 1/2 labors, or 55,252,959 sq. </w:t>
      </w:r>
      <w:proofErr w:type="spellStart"/>
      <w:r w:rsidRPr="00B97F12">
        <w:rPr>
          <w:rFonts w:eastAsia="Times New Roman"/>
          <w:u w:val="none"/>
        </w:rPr>
        <w:t>vrs</w:t>
      </w:r>
      <w:proofErr w:type="spellEnd"/>
      <w:r w:rsidRPr="00B97F12">
        <w:rPr>
          <w:rFonts w:eastAsia="Times New Roman"/>
          <w:u w:val="none"/>
        </w:rPr>
        <w:t xml:space="preserve">. too much. Aug. 21, '69, Richardson, $2.00.' </w:t>
      </w:r>
    </w:p>
    <w:p w:rsidR="00B97F12" w:rsidRPr="00B97F12" w:rsidRDefault="00B97F12" w:rsidP="00B97F12">
      <w:pPr>
        <w:spacing w:before="100" w:beforeAutospacing="1" w:after="100" w:afterAutospacing="1" w:line="240" w:lineRule="auto"/>
        <w:ind w:left="0" w:firstLine="0"/>
        <w:rPr>
          <w:rFonts w:eastAsia="Times New Roman"/>
          <w:u w:val="none"/>
        </w:rPr>
      </w:pPr>
      <w:r w:rsidRPr="00B97F12">
        <w:rPr>
          <w:rFonts w:eastAsia="Times New Roman"/>
          <w:u w:val="none"/>
        </w:rPr>
        <w:t xml:space="preserve">No patent was ever issued for the land or any part of it. On September 3, 1901, the legislature of the state of Texas passed an act, 11 of which is as follows: </w:t>
      </w:r>
    </w:p>
    <w:p w:rsidR="00B97F12" w:rsidRPr="00B97F12" w:rsidRDefault="00B97F12" w:rsidP="00B97F12">
      <w:pPr>
        <w:spacing w:line="240" w:lineRule="auto"/>
        <w:ind w:left="720" w:firstLine="0"/>
        <w:rPr>
          <w:rFonts w:eastAsia="Times New Roman"/>
          <w:u w:val="none"/>
        </w:rPr>
      </w:pPr>
      <w:r w:rsidRPr="00B97F12">
        <w:rPr>
          <w:rFonts w:eastAsia="Times New Roman"/>
          <w:u w:val="none"/>
        </w:rPr>
        <w:t xml:space="preserve">'Sec. 11. The attorney general of this state is hereby directed and required to institute and prosecute, in the name of the state of Texas, such suits as may be necessary to recover from the person or persons in possession thereof or claiming title thereto, all lands which are held or claimed under titles emanating from the Spanish or Mexican governments where no valid evidences of such grants are to be found in the records or among the files of the General Land Office; and also such suits as may be necessary to determine the exact location and boundaries of such lands, where the evidence on file in the General Land Office does not sufficiently identify the land claimed; and such suits shall be brought, prosecuted, and tried in the district court of Travis county, Texas.' </w:t>
      </w:r>
    </w:p>
    <w:p w:rsidR="00B97F12" w:rsidRDefault="00B97F12" w:rsidP="00B97F12">
      <w:pPr>
        <w:spacing w:before="100" w:beforeAutospacing="1" w:after="100" w:afterAutospacing="1" w:line="240" w:lineRule="auto"/>
        <w:ind w:left="0" w:firstLine="0"/>
        <w:rPr>
          <w:rFonts w:eastAsia="Times New Roman"/>
          <w:u w:val="none"/>
        </w:rPr>
      </w:pPr>
      <w:r w:rsidRPr="00B97F12">
        <w:rPr>
          <w:rFonts w:eastAsia="Times New Roman"/>
          <w:u w:val="none"/>
        </w:rPr>
        <w:t xml:space="preserve">In pursuance of this section this suit was brought, the original petition having been filed September 24, 1902. </w:t>
      </w:r>
    </w:p>
    <w:p w:rsidR="0001150B" w:rsidRDefault="0001150B" w:rsidP="00B97F12">
      <w:pPr>
        <w:spacing w:before="100" w:beforeAutospacing="1" w:after="100" w:afterAutospacing="1" w:line="240" w:lineRule="auto"/>
        <w:ind w:left="0" w:firstLine="0"/>
        <w:rPr>
          <w:rFonts w:eastAsia="Times New Roman"/>
          <w:u w:val="none"/>
        </w:rPr>
      </w:pPr>
    </w:p>
    <w:p w:rsidR="0001150B" w:rsidRPr="00B97F12" w:rsidRDefault="0001150B" w:rsidP="00B97F12">
      <w:pPr>
        <w:spacing w:before="100" w:beforeAutospacing="1" w:after="100" w:afterAutospacing="1" w:line="240" w:lineRule="auto"/>
        <w:ind w:left="0" w:firstLine="0"/>
        <w:rPr>
          <w:rFonts w:eastAsia="Times New Roman"/>
          <w:u w:val="none"/>
        </w:rPr>
      </w:pPr>
    </w:p>
    <w:p w:rsidR="00B97F12" w:rsidRPr="00B97F12" w:rsidRDefault="00B97F12" w:rsidP="00B97F12">
      <w:pPr>
        <w:spacing w:before="100" w:beforeAutospacing="1" w:after="100" w:afterAutospacing="1" w:line="240" w:lineRule="auto"/>
        <w:ind w:left="0" w:firstLine="0"/>
        <w:rPr>
          <w:rFonts w:eastAsia="Times New Roman"/>
          <w:u w:val="none"/>
        </w:rPr>
      </w:pPr>
      <w:r w:rsidRPr="00B97F12">
        <w:rPr>
          <w:rFonts w:eastAsia="Times New Roman"/>
          <w:u w:val="none"/>
        </w:rPr>
        <w:t xml:space="preserve">The defendant holds title under the original grantee of the state of Tamaulipas, and was, and had been for many years, in possession of the entire tract of over 10 leagues surveyed by Blucher, claiming title to all in his possession. The state, conceding his title to 6 1/2 leagues, contended that all in excess was still its property. The case was tried before the court without a jury and a judgment entered in behalf of the state for three tracts, which the court found to be outside the boundaries of the original Mexican grant. The court of civil appeals in and for the third supreme judicial district of the state affirmed this judgment. 95 S. W. 645. A petition for rehearing was filed, in which the protection of the contract clause of the Constitution of the United States was specially invoked. In denying the motion for a rehearing the court considered this constitutional question and decided it </w:t>
      </w:r>
      <w:bookmarkStart w:id="3" w:name="420"/>
      <w:r w:rsidRPr="00B97F12">
        <w:rPr>
          <w:rFonts w:eastAsia="Times New Roman"/>
          <w:color w:val="005500"/>
          <w:sz w:val="20"/>
          <w:szCs w:val="20"/>
          <w:u w:val="none"/>
        </w:rPr>
        <w:t xml:space="preserve">[207 U.S. 416, 420] </w:t>
      </w:r>
      <w:bookmarkEnd w:id="3"/>
      <w:r w:rsidRPr="00B97F12">
        <w:rPr>
          <w:rFonts w:eastAsia="Times New Roman"/>
          <w:color w:val="005500"/>
          <w:sz w:val="20"/>
          <w:szCs w:val="20"/>
          <w:u w:val="none"/>
        </w:rPr>
        <w:t xml:space="preserve">  </w:t>
      </w:r>
      <w:r w:rsidRPr="00B97F12">
        <w:rPr>
          <w:rFonts w:eastAsia="Times New Roman"/>
          <w:u w:val="none"/>
        </w:rPr>
        <w:t xml:space="preserve">adversely to the plaintiff in error. Thereupon a petition was presented to the supreme court of the state for a writ of error to review the judgment of the court of civil appeals, but that court dismissed the application for want of jurisdiction. </w:t>
      </w:r>
    </w:p>
    <w:p w:rsidR="00B97F12" w:rsidRPr="00B97F12" w:rsidRDefault="00B97F12" w:rsidP="00B97F12">
      <w:pPr>
        <w:spacing w:before="100" w:beforeAutospacing="1" w:after="100" w:afterAutospacing="1" w:line="240" w:lineRule="auto"/>
        <w:ind w:left="0" w:firstLine="0"/>
        <w:rPr>
          <w:rFonts w:eastAsia="Times New Roman"/>
          <w:u w:val="none"/>
        </w:rPr>
      </w:pPr>
      <w:r w:rsidRPr="00B97F12">
        <w:rPr>
          <w:rFonts w:eastAsia="Times New Roman"/>
          <w:u w:val="none"/>
        </w:rPr>
        <w:t xml:space="preserve">Messrs. Charles W. Ogden and J. C. Sullivan for plaintiff in error. </w:t>
      </w:r>
    </w:p>
    <w:p w:rsidR="00B97F12" w:rsidRPr="00B97F12" w:rsidRDefault="00B97F12" w:rsidP="00B97F12">
      <w:pPr>
        <w:spacing w:before="100" w:beforeAutospacing="1" w:after="100" w:afterAutospacing="1" w:line="240" w:lineRule="auto"/>
        <w:ind w:left="0" w:firstLine="0"/>
        <w:rPr>
          <w:rFonts w:eastAsia="Times New Roman"/>
          <w:u w:val="none"/>
        </w:rPr>
      </w:pPr>
      <w:bookmarkStart w:id="4" w:name="421"/>
      <w:r w:rsidRPr="00B97F12">
        <w:rPr>
          <w:rFonts w:eastAsia="Times New Roman"/>
          <w:color w:val="005500"/>
          <w:sz w:val="20"/>
          <w:szCs w:val="20"/>
          <w:u w:val="none"/>
        </w:rPr>
        <w:t xml:space="preserve">[207 U.S. 416, 421] </w:t>
      </w:r>
      <w:bookmarkEnd w:id="4"/>
      <w:r w:rsidRPr="00B97F12">
        <w:rPr>
          <w:rFonts w:eastAsia="Times New Roman"/>
          <w:color w:val="005500"/>
          <w:sz w:val="20"/>
          <w:szCs w:val="20"/>
          <w:u w:val="none"/>
        </w:rPr>
        <w:t xml:space="preserve">  </w:t>
      </w:r>
      <w:r w:rsidRPr="00B97F12">
        <w:rPr>
          <w:rFonts w:eastAsia="Times New Roman"/>
          <w:u w:val="none"/>
        </w:rPr>
        <w:t xml:space="preserve">Messrs. William E. Hawkins and Robert Vance </w:t>
      </w:r>
    </w:p>
    <w:p w:rsidR="00B97F12" w:rsidRPr="00B97F12" w:rsidRDefault="00B97F12" w:rsidP="00B97F12">
      <w:pPr>
        <w:spacing w:before="100" w:beforeAutospacing="1" w:after="100" w:afterAutospacing="1" w:line="240" w:lineRule="auto"/>
        <w:ind w:left="0" w:firstLine="0"/>
        <w:rPr>
          <w:rFonts w:eastAsia="Times New Roman"/>
          <w:u w:val="none"/>
        </w:rPr>
      </w:pPr>
      <w:bookmarkStart w:id="5" w:name="422"/>
      <w:r w:rsidRPr="00B97F12">
        <w:rPr>
          <w:rFonts w:eastAsia="Times New Roman"/>
          <w:color w:val="005500"/>
          <w:sz w:val="20"/>
          <w:szCs w:val="20"/>
          <w:u w:val="none"/>
        </w:rPr>
        <w:t xml:space="preserve">[207 U.S. 416, 422] </w:t>
      </w:r>
      <w:bookmarkEnd w:id="5"/>
      <w:r w:rsidRPr="00B97F12">
        <w:rPr>
          <w:rFonts w:eastAsia="Times New Roman"/>
          <w:color w:val="005500"/>
          <w:sz w:val="20"/>
          <w:szCs w:val="20"/>
          <w:u w:val="none"/>
        </w:rPr>
        <w:t xml:space="preserve">  </w:t>
      </w:r>
      <w:r w:rsidRPr="00B97F12">
        <w:rPr>
          <w:rFonts w:eastAsia="Times New Roman"/>
          <w:u w:val="none"/>
        </w:rPr>
        <w:t xml:space="preserve">Davidson for defendant in error. </w:t>
      </w:r>
    </w:p>
    <w:p w:rsidR="00B97F12" w:rsidRPr="00B97F12" w:rsidRDefault="00B97F12" w:rsidP="00B97F12">
      <w:pPr>
        <w:spacing w:before="100" w:beforeAutospacing="1" w:after="100" w:afterAutospacing="1" w:line="240" w:lineRule="auto"/>
        <w:ind w:left="0" w:firstLine="0"/>
        <w:rPr>
          <w:rFonts w:eastAsia="Times New Roman"/>
          <w:u w:val="none"/>
        </w:rPr>
      </w:pPr>
      <w:r w:rsidRPr="00B97F12">
        <w:rPr>
          <w:rFonts w:eastAsia="Times New Roman"/>
          <w:u w:val="none"/>
        </w:rPr>
        <w:t xml:space="preserve">Mr. Justice Brewer delivered the opinion of the court: </w:t>
      </w:r>
    </w:p>
    <w:p w:rsidR="00B97F12" w:rsidRPr="00B97F12" w:rsidRDefault="00B97F12" w:rsidP="00B97F12">
      <w:pPr>
        <w:spacing w:before="100" w:beforeAutospacing="1" w:after="100" w:afterAutospacing="1" w:line="240" w:lineRule="auto"/>
        <w:ind w:left="0" w:firstLine="0"/>
        <w:rPr>
          <w:rFonts w:eastAsia="Times New Roman"/>
          <w:u w:val="none"/>
        </w:rPr>
      </w:pPr>
      <w:r w:rsidRPr="00B97F12">
        <w:rPr>
          <w:rFonts w:eastAsia="Times New Roman"/>
          <w:u w:val="none"/>
        </w:rPr>
        <w:t xml:space="preserve">By the action of the supreme court of the state the judgment of the court of civil appeals became the judgment of the highest court in the state to which the case could be taken, and hence the writ of error properly ran to that court. The constitutional question, although not raised theretofore, was distinctly presented in the petition to the court of civil appeals for a rehearing, was considered by that court, and decided adversely to the plaintiff in error. This court, therefore, has jurisdiction. </w:t>
      </w:r>
      <w:proofErr w:type="spellStart"/>
      <w:r w:rsidRPr="00B97F12">
        <w:rPr>
          <w:rFonts w:eastAsia="Times New Roman"/>
          <w:u w:val="none"/>
        </w:rPr>
        <w:t>Mallett</w:t>
      </w:r>
      <w:proofErr w:type="spellEnd"/>
      <w:r w:rsidRPr="00B97F12">
        <w:rPr>
          <w:rFonts w:eastAsia="Times New Roman"/>
          <w:u w:val="none"/>
        </w:rPr>
        <w:t xml:space="preserve"> v. North Carolina, </w:t>
      </w:r>
      <w:hyperlink r:id="rId8" w:anchor="592" w:history="1">
        <w:r w:rsidRPr="00B97F12">
          <w:rPr>
            <w:rFonts w:eastAsia="Times New Roman"/>
            <w:color w:val="0000FF"/>
            <w:u w:val="single"/>
          </w:rPr>
          <w:t xml:space="preserve">181 U.S. 589, 592 </w:t>
        </w:r>
      </w:hyperlink>
      <w:r w:rsidRPr="00B97F12">
        <w:rPr>
          <w:rFonts w:eastAsia="Times New Roman"/>
          <w:u w:val="none"/>
        </w:rPr>
        <w:t xml:space="preserve">, 45 S. L. ed. 1015, 1017, 21 Sup. Ct. Rep. 730; Leigh v. Green, </w:t>
      </w:r>
      <w:hyperlink r:id="rId9" w:history="1">
        <w:r w:rsidRPr="00B97F12">
          <w:rPr>
            <w:rFonts w:eastAsia="Times New Roman"/>
            <w:color w:val="0000FF"/>
            <w:u w:val="single"/>
          </w:rPr>
          <w:t xml:space="preserve">193 U.S. 79 </w:t>
        </w:r>
      </w:hyperlink>
      <w:r w:rsidRPr="00B97F12">
        <w:rPr>
          <w:rFonts w:eastAsia="Times New Roman"/>
          <w:u w:val="none"/>
        </w:rPr>
        <w:t xml:space="preserve">, 48 L. ed. 623, 24 Sup. Ct. Rep. 390; French v. Taylor, </w:t>
      </w:r>
      <w:hyperlink r:id="rId10" w:history="1">
        <w:r w:rsidRPr="00B97F12">
          <w:rPr>
            <w:rFonts w:eastAsia="Times New Roman"/>
            <w:color w:val="0000FF"/>
            <w:u w:val="single"/>
          </w:rPr>
          <w:t xml:space="preserve">199 U.S. 274 </w:t>
        </w:r>
      </w:hyperlink>
      <w:r w:rsidRPr="00B97F12">
        <w:rPr>
          <w:rFonts w:eastAsia="Times New Roman"/>
          <w:u w:val="none"/>
        </w:rPr>
        <w:t xml:space="preserve">, 50 L. ed. 189, 26 Sup. Ct. Rep. 76. </w:t>
      </w:r>
    </w:p>
    <w:p w:rsidR="00B97F12" w:rsidRPr="00B97F12" w:rsidRDefault="00B97F12" w:rsidP="00B97F12">
      <w:pPr>
        <w:spacing w:before="100" w:beforeAutospacing="1" w:after="100" w:afterAutospacing="1" w:line="240" w:lineRule="auto"/>
        <w:ind w:left="0" w:firstLine="0"/>
        <w:rPr>
          <w:rFonts w:eastAsia="Times New Roman"/>
          <w:u w:val="none"/>
        </w:rPr>
      </w:pPr>
      <w:r w:rsidRPr="00B97F12">
        <w:rPr>
          <w:rFonts w:eastAsia="Times New Roman"/>
          <w:u w:val="none"/>
        </w:rPr>
        <w:t xml:space="preserve">Coming to the merits, it is obvious that </w:t>
      </w:r>
      <w:r w:rsidRPr="0028639E">
        <w:rPr>
          <w:rFonts w:eastAsia="Times New Roman"/>
          <w:color w:val="C00000"/>
          <w:u w:val="none"/>
        </w:rPr>
        <w:t>the act of 1852 was simply a confirmation of grants made by the Mexican states.</w:t>
      </w:r>
      <w:r w:rsidRPr="00B97F12">
        <w:rPr>
          <w:rFonts w:eastAsia="Times New Roman"/>
          <w:u w:val="none"/>
        </w:rPr>
        <w:t xml:space="preserve"> </w:t>
      </w:r>
      <w:bookmarkStart w:id="6" w:name="423"/>
      <w:r w:rsidRPr="00B97F12">
        <w:rPr>
          <w:rFonts w:eastAsia="Times New Roman"/>
          <w:color w:val="005500"/>
          <w:sz w:val="20"/>
          <w:szCs w:val="20"/>
          <w:u w:val="none"/>
        </w:rPr>
        <w:t xml:space="preserve">[207 U.S. 416, 423] </w:t>
      </w:r>
      <w:bookmarkEnd w:id="6"/>
      <w:r w:rsidRPr="00B97F12">
        <w:rPr>
          <w:rFonts w:eastAsia="Times New Roman"/>
          <w:color w:val="005500"/>
          <w:sz w:val="20"/>
          <w:szCs w:val="20"/>
          <w:u w:val="none"/>
        </w:rPr>
        <w:t xml:space="preserve">  </w:t>
      </w:r>
      <w:r w:rsidRPr="00B97F12">
        <w:rPr>
          <w:rFonts w:eastAsia="Times New Roman"/>
          <w:u w:val="none"/>
        </w:rPr>
        <w:t xml:space="preserve">There is nothing in it which suggests the thought of new grants or of addition to old ones. </w:t>
      </w:r>
      <w:r w:rsidRPr="0028639E">
        <w:rPr>
          <w:rFonts w:eastAsia="Times New Roman"/>
          <w:color w:val="C00000"/>
          <w:u w:val="none"/>
        </w:rPr>
        <w:t>The 1st section declares that the state 'relinquishes all her right and interest in the following-described lands to the original grantees thereof,' and names the amount of land included in this grant so relinquished,-6 1/2 leagues. The 2d section makes it the duty of claimants to have surveys made of their existing grants. The third section makes provision in case of the loss of the 'original title papers of lands claimed by this act,' while 5 speaks of 'the confirmation herein extended to the lands mentioned in this act.'</w:t>
      </w:r>
      <w:r w:rsidRPr="00B97F12">
        <w:rPr>
          <w:rFonts w:eastAsia="Times New Roman"/>
          <w:u w:val="none"/>
        </w:rPr>
        <w:t xml:space="preserve"> </w:t>
      </w:r>
    </w:p>
    <w:p w:rsidR="0001150B" w:rsidRDefault="00B97F12" w:rsidP="00B97F12">
      <w:pPr>
        <w:spacing w:before="100" w:beforeAutospacing="1" w:after="100" w:afterAutospacing="1" w:line="240" w:lineRule="auto"/>
        <w:ind w:left="0" w:firstLine="0"/>
        <w:rPr>
          <w:rFonts w:eastAsia="Times New Roman"/>
          <w:u w:val="none"/>
        </w:rPr>
      </w:pPr>
      <w:r w:rsidRPr="00B97F12">
        <w:rPr>
          <w:rFonts w:eastAsia="Times New Roman"/>
          <w:u w:val="none"/>
        </w:rPr>
        <w:t xml:space="preserve">But it is contended that there was an </w:t>
      </w:r>
      <w:r w:rsidRPr="0028639E">
        <w:rPr>
          <w:rFonts w:eastAsia="Times New Roman"/>
          <w:color w:val="C00000"/>
          <w:u w:val="none"/>
        </w:rPr>
        <w:t>existing Mexican land grant binding upon the state of Texas as the successor of the former government; that the act of 1852 not only confirmed the grant, but also by the 2d section provided for a settlement of its boundaries through an official survey</w:t>
      </w:r>
      <w:r w:rsidRPr="00B97F12">
        <w:rPr>
          <w:rFonts w:eastAsia="Times New Roman"/>
          <w:u w:val="none"/>
        </w:rPr>
        <w:t>; that this was a proposition made by the state to the claimant of the grant which, upon acceptance, as evidenced by the survey at the request of the owner and the return of the field notes to the land office</w:t>
      </w:r>
      <w:r w:rsidRPr="0028639E">
        <w:rPr>
          <w:rFonts w:eastAsia="Times New Roman"/>
          <w:color w:val="C00000"/>
          <w:u w:val="none"/>
        </w:rPr>
        <w:t>, ripened into a valid contract;</w:t>
      </w:r>
      <w:r w:rsidRPr="00B97F12">
        <w:rPr>
          <w:rFonts w:eastAsia="Times New Roman"/>
          <w:u w:val="none"/>
        </w:rPr>
        <w:t xml:space="preserve"> that </w:t>
      </w:r>
      <w:r w:rsidRPr="0028639E">
        <w:rPr>
          <w:rFonts w:eastAsia="Times New Roman"/>
          <w:color w:val="C00000"/>
          <w:u w:val="none"/>
        </w:rPr>
        <w:t>when the survey was made and the filed notes returned, as required by law, it became conclusive evidence against both the state and the claimant that the land surveyed was that granted by the Mexican state and confirmed by the legislature of Texas. This argument makes the survey the pivotal fact upon which the question of contract turns.</w:t>
      </w:r>
      <w:r w:rsidRPr="00B97F12">
        <w:rPr>
          <w:rFonts w:eastAsia="Times New Roman"/>
          <w:u w:val="none"/>
        </w:rPr>
        <w:t xml:space="preserve"> Of course, whether there was or was not a contract is a question which, in a case like the present, this court must determine for itself. Jefferson Branch Bank v. </w:t>
      </w:r>
      <w:proofErr w:type="spellStart"/>
      <w:r w:rsidRPr="00B97F12">
        <w:rPr>
          <w:rFonts w:eastAsia="Times New Roman"/>
          <w:u w:val="none"/>
        </w:rPr>
        <w:t>Skelly</w:t>
      </w:r>
      <w:proofErr w:type="spellEnd"/>
      <w:r w:rsidRPr="00B97F12">
        <w:rPr>
          <w:rFonts w:eastAsia="Times New Roman"/>
          <w:u w:val="none"/>
        </w:rPr>
        <w:t xml:space="preserve">, 1 Black, 436-443, 17 L. ed. 173-177; McCullough v. Virginia, </w:t>
      </w:r>
      <w:hyperlink r:id="rId11" w:anchor="109" w:history="1">
        <w:r w:rsidRPr="00B97F12">
          <w:rPr>
            <w:rFonts w:eastAsia="Times New Roman"/>
            <w:color w:val="0000FF"/>
            <w:u w:val="single"/>
          </w:rPr>
          <w:t xml:space="preserve">172 U.S. 102, 109 </w:t>
        </w:r>
      </w:hyperlink>
      <w:r w:rsidRPr="00B97F12">
        <w:rPr>
          <w:rFonts w:eastAsia="Times New Roman"/>
          <w:u w:val="none"/>
        </w:rPr>
        <w:t xml:space="preserve">, 43 S. L. ed. 382, 384, 19 Sup. Ct. Rep. 134; Houston &amp; T. C. R. Co. v. Texas, </w:t>
      </w:r>
      <w:hyperlink r:id="rId12" w:anchor="77" w:history="1">
        <w:r w:rsidRPr="00B97F12">
          <w:rPr>
            <w:rFonts w:eastAsia="Times New Roman"/>
            <w:color w:val="0000FF"/>
            <w:u w:val="single"/>
          </w:rPr>
          <w:t xml:space="preserve">177 U.S. 66, 77 </w:t>
        </w:r>
      </w:hyperlink>
      <w:r w:rsidRPr="00B97F12">
        <w:rPr>
          <w:rFonts w:eastAsia="Times New Roman"/>
          <w:u w:val="none"/>
        </w:rPr>
        <w:t xml:space="preserve">, </w:t>
      </w:r>
    </w:p>
    <w:p w:rsidR="0001150B" w:rsidRDefault="0001150B" w:rsidP="00B97F12">
      <w:pPr>
        <w:spacing w:before="100" w:beforeAutospacing="1" w:after="100" w:afterAutospacing="1" w:line="240" w:lineRule="auto"/>
        <w:ind w:left="0" w:firstLine="0"/>
        <w:rPr>
          <w:rFonts w:eastAsia="Times New Roman"/>
          <w:u w:val="none"/>
        </w:rPr>
      </w:pPr>
    </w:p>
    <w:p w:rsidR="0001150B" w:rsidRDefault="0001150B" w:rsidP="00B97F12">
      <w:pPr>
        <w:spacing w:before="100" w:beforeAutospacing="1" w:after="100" w:afterAutospacing="1" w:line="240" w:lineRule="auto"/>
        <w:ind w:left="0" w:firstLine="0"/>
        <w:rPr>
          <w:rFonts w:eastAsia="Times New Roman"/>
          <w:u w:val="none"/>
        </w:rPr>
      </w:pPr>
    </w:p>
    <w:p w:rsidR="00B97F12" w:rsidRPr="00B97F12" w:rsidRDefault="00B97F12" w:rsidP="00B97F12">
      <w:pPr>
        <w:spacing w:before="100" w:beforeAutospacing="1" w:after="100" w:afterAutospacing="1" w:line="240" w:lineRule="auto"/>
        <w:ind w:left="0" w:firstLine="0"/>
        <w:rPr>
          <w:rFonts w:eastAsia="Times New Roman"/>
          <w:u w:val="none"/>
        </w:rPr>
      </w:pPr>
      <w:r w:rsidRPr="00B97F12">
        <w:rPr>
          <w:rFonts w:eastAsia="Times New Roman"/>
          <w:u w:val="none"/>
        </w:rPr>
        <w:t xml:space="preserve">44 S. L. ed. 673, 680, 20 Sup. Ct. Rep. 545; St. Paul Gaslight Co. v. St. Paul, </w:t>
      </w:r>
      <w:hyperlink r:id="rId13" w:anchor="147" w:history="1">
        <w:r w:rsidRPr="00B97F12">
          <w:rPr>
            <w:rFonts w:eastAsia="Times New Roman"/>
            <w:color w:val="0000FF"/>
            <w:u w:val="single"/>
          </w:rPr>
          <w:t xml:space="preserve">181 U.S. 142, 147 </w:t>
        </w:r>
      </w:hyperlink>
      <w:r w:rsidRPr="00B97F12">
        <w:rPr>
          <w:rFonts w:eastAsia="Times New Roman"/>
          <w:u w:val="none"/>
        </w:rPr>
        <w:t xml:space="preserve">, 45 S. L. ed. 788, 791, 21 Sup. Ct. Rep. 575; </w:t>
      </w:r>
      <w:proofErr w:type="spellStart"/>
      <w:r w:rsidRPr="00B97F12">
        <w:rPr>
          <w:rFonts w:eastAsia="Times New Roman"/>
          <w:u w:val="none"/>
        </w:rPr>
        <w:t>Muhlker</w:t>
      </w:r>
      <w:proofErr w:type="spellEnd"/>
      <w:r w:rsidRPr="00B97F12">
        <w:rPr>
          <w:rFonts w:eastAsia="Times New Roman"/>
          <w:u w:val="none"/>
        </w:rPr>
        <w:t xml:space="preserve"> v. New York &amp; H. R. Co. </w:t>
      </w:r>
      <w:hyperlink r:id="rId14" w:anchor="570" w:history="1">
        <w:r w:rsidRPr="00B97F12">
          <w:rPr>
            <w:rFonts w:eastAsia="Times New Roman"/>
            <w:color w:val="0000FF"/>
            <w:u w:val="single"/>
          </w:rPr>
          <w:t xml:space="preserve">197 U.S. 544, 570 </w:t>
        </w:r>
      </w:hyperlink>
      <w:r w:rsidRPr="00B97F12">
        <w:rPr>
          <w:rFonts w:eastAsia="Times New Roman"/>
          <w:u w:val="none"/>
        </w:rPr>
        <w:t xml:space="preserve">, 49 S. L. ed. 872, 877, 25 Sup. Ct. Rep. 522. </w:t>
      </w:r>
    </w:p>
    <w:p w:rsidR="00B97F12" w:rsidRPr="00B97F12" w:rsidRDefault="00B97F12" w:rsidP="00B97F12">
      <w:pPr>
        <w:spacing w:before="100" w:beforeAutospacing="1" w:after="100" w:afterAutospacing="1" w:line="240" w:lineRule="auto"/>
        <w:ind w:left="0" w:firstLine="0"/>
        <w:rPr>
          <w:rFonts w:eastAsia="Times New Roman"/>
          <w:u w:val="none"/>
        </w:rPr>
      </w:pPr>
      <w:r w:rsidRPr="00B97F12">
        <w:rPr>
          <w:rFonts w:eastAsia="Times New Roman"/>
          <w:u w:val="none"/>
        </w:rPr>
        <w:t xml:space="preserve">It will be perceived that 2 does not name the individual to act for the state, but only designates certain officials, any one of whom may make the survey, and imposes a duty upon the claimant of causing the survey to be made. It does not </w:t>
      </w:r>
      <w:bookmarkStart w:id="7" w:name="424"/>
      <w:r w:rsidRPr="00B97F12">
        <w:rPr>
          <w:rFonts w:eastAsia="Times New Roman"/>
          <w:color w:val="005500"/>
          <w:sz w:val="20"/>
          <w:szCs w:val="20"/>
          <w:u w:val="none"/>
        </w:rPr>
        <w:t xml:space="preserve">[207 U.S. 416, 424] </w:t>
      </w:r>
      <w:bookmarkEnd w:id="7"/>
      <w:r w:rsidRPr="00B97F12">
        <w:rPr>
          <w:rFonts w:eastAsia="Times New Roman"/>
          <w:color w:val="005500"/>
          <w:sz w:val="20"/>
          <w:szCs w:val="20"/>
          <w:u w:val="none"/>
        </w:rPr>
        <w:t xml:space="preserve">  </w:t>
      </w:r>
      <w:r w:rsidRPr="00B97F12">
        <w:rPr>
          <w:rFonts w:eastAsia="Times New Roman"/>
          <w:u w:val="none"/>
        </w:rPr>
        <w:t xml:space="preserve">prescribe the time within which the survey must be made. In fact, it was not made until seven years after the passage of the act, and the field notes were not filed until ten years after that. The purpose of the act was to enable the claimant to acquire a patent as better evidence of title, with a more accurate description of boundaries. The surveyor is not named as an agent of the state. On the contrary, an official act, that of survey, was authorized to be made at the instance of the claimant, but a mere surveyor is not, by virtue of his office, empowered to change boundaries. Those were given in the original Mexican grant, and his function was simply to resurvey, making the description more definite and certain. It could not have been within the contemplation of the legislature that this surveyor, picked out by the claimant, should have power to bind the state, by the mere matter of survey, to a grant nearly double the size of that which it confirmed by this statute of relinquishment. It must be borne in mind that the original grant was not a float,-that is, a grant of so many acres, to be located inside of a larger tract, in which the surveyor might have a discretion in selecting the particular tract,-but it was a grant by metes and bounds, and the sole function of the surveyor was ministerial,- to locate the tract and more fully describe those metes and bounds. </w:t>
      </w:r>
    </w:p>
    <w:p w:rsidR="00B97F12" w:rsidRPr="00B97F12" w:rsidRDefault="00B97F12" w:rsidP="00B97F12">
      <w:pPr>
        <w:spacing w:before="100" w:beforeAutospacing="1" w:after="100" w:afterAutospacing="1" w:line="240" w:lineRule="auto"/>
        <w:ind w:left="0" w:firstLine="0"/>
        <w:rPr>
          <w:rFonts w:eastAsia="Times New Roman"/>
          <w:u w:val="none"/>
        </w:rPr>
      </w:pPr>
      <w:r w:rsidRPr="00B97F12">
        <w:rPr>
          <w:rFonts w:eastAsia="Times New Roman"/>
          <w:u w:val="none"/>
        </w:rPr>
        <w:t xml:space="preserve">In all these proceedings the substantial elements of a contract are lacking. </w:t>
      </w:r>
      <w:r w:rsidRPr="00761EE2">
        <w:rPr>
          <w:rFonts w:eastAsia="Times New Roman"/>
          <w:i/>
          <w:u w:val="single"/>
        </w:rPr>
        <w:t>The state of Texas, succeeding to the sovereignty of the former government, recognized all that might, under any circumstances, be considered its international obligation, and confirmed the title which had been made. It made no grant of additional land. It simply relinquished all claims to that which had been granted by the former sovereign and confirmed the title made by that grant. It received no consideration. As the description in the original survey was defective, it provided means for perfecting that description and authorized a patent, which is the highest evidence of title.</w:t>
      </w:r>
      <w:r w:rsidRPr="00B97F12">
        <w:rPr>
          <w:rFonts w:eastAsia="Times New Roman"/>
          <w:u w:val="none"/>
        </w:rPr>
        <w:t xml:space="preserve"> On the other hand, the grantee, holding a grant from the state of Tamaulipas, received from the state of Texas no grant or </w:t>
      </w:r>
      <w:bookmarkStart w:id="8" w:name="425"/>
      <w:r w:rsidRPr="00B97F12">
        <w:rPr>
          <w:rFonts w:eastAsia="Times New Roman"/>
          <w:color w:val="005500"/>
          <w:sz w:val="20"/>
          <w:szCs w:val="20"/>
          <w:u w:val="none"/>
        </w:rPr>
        <w:t xml:space="preserve">[207 U.S. 416, 425] </w:t>
      </w:r>
      <w:bookmarkEnd w:id="8"/>
      <w:r w:rsidRPr="00B97F12">
        <w:rPr>
          <w:rFonts w:eastAsia="Times New Roman"/>
          <w:color w:val="005500"/>
          <w:sz w:val="20"/>
          <w:szCs w:val="20"/>
          <w:u w:val="none"/>
        </w:rPr>
        <w:t xml:space="preserve">  </w:t>
      </w:r>
      <w:r w:rsidRPr="00B97F12">
        <w:rPr>
          <w:rFonts w:eastAsia="Times New Roman"/>
          <w:u w:val="none"/>
        </w:rPr>
        <w:t xml:space="preserve">promise of additional land, but simply a declaration of its willingness to recognize and confirm the Mexican grant. He paid nothing to the state, but was only accorded by it the means of making </w:t>
      </w:r>
      <w:r w:rsidRPr="00761EE2">
        <w:rPr>
          <w:rFonts w:eastAsia="Times New Roman"/>
          <w:i/>
          <w:u w:val="single"/>
        </w:rPr>
        <w:t>his title definite and certain and the boundaries of his grant beyond question</w:t>
      </w:r>
      <w:r w:rsidRPr="00B97F12">
        <w:rPr>
          <w:rFonts w:eastAsia="Times New Roman"/>
          <w:u w:val="none"/>
        </w:rPr>
        <w:t xml:space="preserve">. In short, it was simply a proceeding established by the law of the state for making clear and certain the boundaries of grants which the state was willing to recognize, and in that proceeding a certain official of the state was charged with the ministerial duty of making a survey. </w:t>
      </w:r>
      <w:r w:rsidRPr="00761EE2">
        <w:rPr>
          <w:rFonts w:eastAsia="Times New Roman"/>
          <w:i/>
          <w:u w:val="single"/>
        </w:rPr>
        <w:t>He was given no authority to enlarge or diminish the grant, but only to ascertain what the real boundaries were. Further, the state has never given a patent, although this suit was not commenced for fifty years after the act of relinquishment, forth-three years after the survey, and thirty-three years after the filing of the filed notes in the state land office.</w:t>
      </w:r>
      <w:r w:rsidRPr="00B97F12">
        <w:rPr>
          <w:rFonts w:eastAsia="Times New Roman"/>
          <w:u w:val="none"/>
        </w:rPr>
        <w:t xml:space="preserve"> </w:t>
      </w:r>
    </w:p>
    <w:p w:rsidR="00B97F12" w:rsidRPr="00B97F12" w:rsidRDefault="00B97F12" w:rsidP="00B97F12">
      <w:pPr>
        <w:spacing w:before="100" w:beforeAutospacing="1" w:after="100" w:afterAutospacing="1" w:line="240" w:lineRule="auto"/>
        <w:ind w:left="0" w:firstLine="0"/>
        <w:rPr>
          <w:rFonts w:eastAsia="Times New Roman"/>
          <w:u w:val="none"/>
        </w:rPr>
      </w:pPr>
      <w:r w:rsidRPr="00B97F12">
        <w:rPr>
          <w:rFonts w:eastAsia="Times New Roman"/>
          <w:u w:val="none"/>
        </w:rPr>
        <w:t xml:space="preserve">The decision of the Court of Civil Appeals was right, and its judgment is affirmed. </w:t>
      </w:r>
    </w:p>
    <w:p w:rsidR="00B97F12" w:rsidRDefault="00B97F12" w:rsidP="00B97F12">
      <w:pPr>
        <w:ind w:left="0" w:firstLine="0"/>
      </w:pPr>
    </w:p>
    <w:sectPr w:rsidR="00B97F12" w:rsidSect="004F648E">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744"/>
    <w:multiLevelType w:val="multilevel"/>
    <w:tmpl w:val="D5A4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doNotDisplayPageBoundaries/>
  <w:proofState w:spelling="clean"/>
  <w:defaultTabStop w:val="720"/>
  <w:drawingGridHorizontalSpacing w:val="110"/>
  <w:displayHorizontalDrawingGridEvery w:val="2"/>
  <w:displayVerticalDrawingGridEvery w:val="2"/>
  <w:characterSpacingControl w:val="doNotCompress"/>
  <w:compat/>
  <w:rsids>
    <w:rsidRoot w:val="00B97F12"/>
    <w:rsid w:val="0001150B"/>
    <w:rsid w:val="002535E2"/>
    <w:rsid w:val="0028639E"/>
    <w:rsid w:val="0045749A"/>
    <w:rsid w:val="004F648E"/>
    <w:rsid w:val="005D29C2"/>
    <w:rsid w:val="006F5871"/>
    <w:rsid w:val="00761EE2"/>
    <w:rsid w:val="007D6D97"/>
    <w:rsid w:val="0083263E"/>
    <w:rsid w:val="008F6763"/>
    <w:rsid w:val="009C3019"/>
    <w:rsid w:val="009F2181"/>
    <w:rsid w:val="00A34770"/>
    <w:rsid w:val="00B471E8"/>
    <w:rsid w:val="00B97F12"/>
    <w:rsid w:val="00DD507C"/>
    <w:rsid w:val="00FC5F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u w:val="double" w:color="C00000"/>
        <w:lang w:val="en-US" w:eastAsia="en-US" w:bidi="ar-SA"/>
      </w:rPr>
    </w:rPrDefault>
    <w:pPrDefault>
      <w:pPr>
        <w:spacing w:line="276" w:lineRule="auto"/>
        <w:ind w:left="25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1E8"/>
  </w:style>
  <w:style w:type="paragraph" w:styleId="Heading1">
    <w:name w:val="heading 1"/>
    <w:basedOn w:val="Normal"/>
    <w:link w:val="Heading1Char"/>
    <w:uiPriority w:val="9"/>
    <w:qFormat/>
    <w:rsid w:val="00B97F12"/>
    <w:pPr>
      <w:spacing w:before="100" w:beforeAutospacing="1" w:after="100" w:afterAutospacing="1" w:line="240" w:lineRule="auto"/>
      <w:ind w:left="0" w:firstLine="0"/>
      <w:outlineLvl w:val="0"/>
    </w:pPr>
    <w:rPr>
      <w:rFonts w:eastAsia="Times New Roman"/>
      <w:b/>
      <w:bCs/>
      <w:kern w:val="36"/>
      <w:sz w:val="48"/>
      <w:szCs w:val="48"/>
      <w:u w:val="none"/>
    </w:rPr>
  </w:style>
  <w:style w:type="paragraph" w:styleId="Heading2">
    <w:name w:val="heading 2"/>
    <w:basedOn w:val="Normal"/>
    <w:link w:val="Heading2Char"/>
    <w:uiPriority w:val="9"/>
    <w:qFormat/>
    <w:rsid w:val="00B97F12"/>
    <w:pPr>
      <w:spacing w:before="100" w:beforeAutospacing="1" w:after="100" w:afterAutospacing="1" w:line="240" w:lineRule="auto"/>
      <w:ind w:left="0" w:firstLine="0"/>
      <w:outlineLvl w:val="1"/>
    </w:pPr>
    <w:rPr>
      <w:rFonts w:eastAsia="Times New Roman"/>
      <w:b/>
      <w:bCs/>
      <w:sz w:val="36"/>
      <w:szCs w:val="36"/>
      <w:u w:val="none"/>
    </w:rPr>
  </w:style>
  <w:style w:type="paragraph" w:styleId="Heading3">
    <w:name w:val="heading 3"/>
    <w:basedOn w:val="Normal"/>
    <w:link w:val="Heading3Char"/>
    <w:uiPriority w:val="9"/>
    <w:qFormat/>
    <w:rsid w:val="00B97F12"/>
    <w:pPr>
      <w:spacing w:before="100" w:beforeAutospacing="1" w:after="100" w:afterAutospacing="1" w:line="240" w:lineRule="auto"/>
      <w:ind w:left="0" w:firstLine="0"/>
      <w:outlineLvl w:val="2"/>
    </w:pPr>
    <w:rPr>
      <w:rFonts w:eastAsia="Times New Roman"/>
      <w:b/>
      <w:bCs/>
      <w:sz w:val="27"/>
      <w:szCs w:val="27"/>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F12"/>
    <w:rPr>
      <w:rFonts w:eastAsia="Times New Roman"/>
      <w:b/>
      <w:bCs/>
      <w:kern w:val="36"/>
      <w:sz w:val="48"/>
      <w:szCs w:val="48"/>
      <w:u w:val="none"/>
    </w:rPr>
  </w:style>
  <w:style w:type="character" w:customStyle="1" w:styleId="Heading2Char">
    <w:name w:val="Heading 2 Char"/>
    <w:basedOn w:val="DefaultParagraphFont"/>
    <w:link w:val="Heading2"/>
    <w:uiPriority w:val="9"/>
    <w:rsid w:val="00B97F12"/>
    <w:rPr>
      <w:rFonts w:eastAsia="Times New Roman"/>
      <w:b/>
      <w:bCs/>
      <w:sz w:val="36"/>
      <w:szCs w:val="36"/>
      <w:u w:val="none"/>
    </w:rPr>
  </w:style>
  <w:style w:type="character" w:customStyle="1" w:styleId="Heading3Char">
    <w:name w:val="Heading 3 Char"/>
    <w:basedOn w:val="DefaultParagraphFont"/>
    <w:link w:val="Heading3"/>
    <w:uiPriority w:val="9"/>
    <w:rsid w:val="00B97F12"/>
    <w:rPr>
      <w:rFonts w:eastAsia="Times New Roman"/>
      <w:b/>
      <w:bCs/>
      <w:sz w:val="27"/>
      <w:szCs w:val="27"/>
      <w:u w:val="none"/>
    </w:rPr>
  </w:style>
  <w:style w:type="character" w:styleId="Hyperlink">
    <w:name w:val="Hyperlink"/>
    <w:basedOn w:val="DefaultParagraphFont"/>
    <w:uiPriority w:val="99"/>
    <w:unhideWhenUsed/>
    <w:rsid w:val="00B97F12"/>
    <w:rPr>
      <w:color w:val="0000FF"/>
      <w:u w:val="single"/>
    </w:rPr>
  </w:style>
  <w:style w:type="character" w:customStyle="1" w:styleId="ccontrolstop">
    <w:name w:val="ccontrolstop"/>
    <w:basedOn w:val="DefaultParagraphFont"/>
    <w:rsid w:val="00B97F12"/>
  </w:style>
  <w:style w:type="character" w:customStyle="1" w:styleId="fontsizes">
    <w:name w:val="fontsizes"/>
    <w:basedOn w:val="DefaultParagraphFont"/>
    <w:rsid w:val="00B97F12"/>
  </w:style>
  <w:style w:type="character" w:customStyle="1" w:styleId="ccontrolfont">
    <w:name w:val="ccontrolfont"/>
    <w:basedOn w:val="DefaultParagraphFont"/>
    <w:rsid w:val="00B97F12"/>
  </w:style>
  <w:style w:type="character" w:customStyle="1" w:styleId="printemail">
    <w:name w:val="printemail"/>
    <w:basedOn w:val="DefaultParagraphFont"/>
    <w:rsid w:val="00B97F12"/>
  </w:style>
  <w:style w:type="paragraph" w:styleId="NormalWeb">
    <w:name w:val="Normal (Web)"/>
    <w:basedOn w:val="Normal"/>
    <w:uiPriority w:val="99"/>
    <w:semiHidden/>
    <w:unhideWhenUsed/>
    <w:rsid w:val="00B97F12"/>
    <w:pPr>
      <w:spacing w:before="100" w:beforeAutospacing="1" w:after="100" w:afterAutospacing="1" w:line="240" w:lineRule="auto"/>
      <w:ind w:left="0" w:firstLine="0"/>
    </w:pPr>
    <w:rPr>
      <w:rFonts w:eastAsia="Times New Roman"/>
      <w:u w:val="none"/>
    </w:rPr>
  </w:style>
</w:styles>
</file>

<file path=word/webSettings.xml><?xml version="1.0" encoding="utf-8"?>
<w:webSettings xmlns:r="http://schemas.openxmlformats.org/officeDocument/2006/relationships" xmlns:w="http://schemas.openxmlformats.org/wordprocessingml/2006/main">
  <w:divs>
    <w:div w:id="203979423">
      <w:bodyDiv w:val="1"/>
      <w:marLeft w:val="0"/>
      <w:marRight w:val="0"/>
      <w:marTop w:val="0"/>
      <w:marBottom w:val="0"/>
      <w:divBdr>
        <w:top w:val="none" w:sz="0" w:space="0" w:color="auto"/>
        <w:left w:val="none" w:sz="0" w:space="0" w:color="auto"/>
        <w:bottom w:val="none" w:sz="0" w:space="0" w:color="auto"/>
        <w:right w:val="none" w:sz="0" w:space="0" w:color="auto"/>
      </w:divBdr>
      <w:divsChild>
        <w:div w:id="1395078004">
          <w:marLeft w:val="0"/>
          <w:marRight w:val="0"/>
          <w:marTop w:val="0"/>
          <w:marBottom w:val="0"/>
          <w:divBdr>
            <w:top w:val="none" w:sz="0" w:space="0" w:color="auto"/>
            <w:left w:val="none" w:sz="0" w:space="0" w:color="auto"/>
            <w:bottom w:val="none" w:sz="0" w:space="0" w:color="auto"/>
            <w:right w:val="none" w:sz="0" w:space="0" w:color="auto"/>
          </w:divBdr>
        </w:div>
        <w:div w:id="157615510">
          <w:marLeft w:val="0"/>
          <w:marRight w:val="0"/>
          <w:marTop w:val="0"/>
          <w:marBottom w:val="0"/>
          <w:divBdr>
            <w:top w:val="none" w:sz="0" w:space="0" w:color="auto"/>
            <w:left w:val="none" w:sz="0" w:space="0" w:color="auto"/>
            <w:bottom w:val="none" w:sz="0" w:space="0" w:color="auto"/>
            <w:right w:val="none" w:sz="0" w:space="0" w:color="auto"/>
          </w:divBdr>
        </w:div>
        <w:div w:id="1216508456">
          <w:marLeft w:val="0"/>
          <w:marRight w:val="0"/>
          <w:marTop w:val="0"/>
          <w:marBottom w:val="0"/>
          <w:divBdr>
            <w:top w:val="none" w:sz="0" w:space="0" w:color="auto"/>
            <w:left w:val="none" w:sz="0" w:space="0" w:color="auto"/>
            <w:bottom w:val="none" w:sz="0" w:space="0" w:color="auto"/>
            <w:right w:val="none" w:sz="0" w:space="0" w:color="auto"/>
          </w:divBdr>
          <w:divsChild>
            <w:div w:id="1211454482">
              <w:marLeft w:val="0"/>
              <w:marRight w:val="0"/>
              <w:marTop w:val="0"/>
              <w:marBottom w:val="0"/>
              <w:divBdr>
                <w:top w:val="none" w:sz="0" w:space="0" w:color="auto"/>
                <w:left w:val="none" w:sz="0" w:space="0" w:color="auto"/>
                <w:bottom w:val="none" w:sz="0" w:space="0" w:color="auto"/>
                <w:right w:val="none" w:sz="0" w:space="0" w:color="auto"/>
              </w:divBdr>
            </w:div>
          </w:divsChild>
        </w:div>
        <w:div w:id="710229203">
          <w:marLeft w:val="0"/>
          <w:marRight w:val="0"/>
          <w:marTop w:val="0"/>
          <w:marBottom w:val="0"/>
          <w:divBdr>
            <w:top w:val="none" w:sz="0" w:space="0" w:color="auto"/>
            <w:left w:val="none" w:sz="0" w:space="0" w:color="auto"/>
            <w:bottom w:val="none" w:sz="0" w:space="0" w:color="auto"/>
            <w:right w:val="none" w:sz="0" w:space="0" w:color="auto"/>
          </w:divBdr>
          <w:divsChild>
            <w:div w:id="183390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selaw.findlaw.com/us-supreme-court/181/589.html" TargetMode="External"/><Relationship Id="rId13" Type="http://schemas.openxmlformats.org/officeDocument/2006/relationships/hyperlink" Target="http://caselaw.findlaw.com/us-supreme-court/181/142.html" TargetMode="External"/><Relationship Id="rId3" Type="http://schemas.openxmlformats.org/officeDocument/2006/relationships/settings" Target="settings.xml"/><Relationship Id="rId7" Type="http://schemas.openxmlformats.org/officeDocument/2006/relationships/hyperlink" Target="http://caselaw.findlaw.com/us-supreme-court/207/416.html%20" TargetMode="External"/><Relationship Id="rId12" Type="http://schemas.openxmlformats.org/officeDocument/2006/relationships/hyperlink" Target="http://caselaw.findlaw.com/us-supreme-court/177/66.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aselaw.findlaw.com/court/us-supreme-court" TargetMode="External"/><Relationship Id="rId11" Type="http://schemas.openxmlformats.org/officeDocument/2006/relationships/hyperlink" Target="http://caselaw.findlaw.com/us-supreme-court/172/102.html" TargetMode="External"/><Relationship Id="rId5" Type="http://schemas.openxmlformats.org/officeDocument/2006/relationships/hyperlink" Target="http://caselaw.findlaw.com/courts/United%20States" TargetMode="External"/><Relationship Id="rId15" Type="http://schemas.openxmlformats.org/officeDocument/2006/relationships/fontTable" Target="fontTable.xml"/><Relationship Id="rId10" Type="http://schemas.openxmlformats.org/officeDocument/2006/relationships/hyperlink" Target="http://caselaw.findlaw.com/us-supreme-court/199/274.html" TargetMode="External"/><Relationship Id="rId4" Type="http://schemas.openxmlformats.org/officeDocument/2006/relationships/webSettings" Target="webSettings.xml"/><Relationship Id="rId9" Type="http://schemas.openxmlformats.org/officeDocument/2006/relationships/hyperlink" Target="http://caselaw.findlaw.com/us-supreme-court/193/79.html" TargetMode="External"/><Relationship Id="rId14" Type="http://schemas.openxmlformats.org/officeDocument/2006/relationships/hyperlink" Target="http://caselaw.findlaw.com/us-supreme-court/197/54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2229</Words>
  <Characters>12710</Characters>
  <Application>Microsoft Office Word</Application>
  <DocSecurity>0</DocSecurity>
  <Lines>105</Lines>
  <Paragraphs>29</Paragraphs>
  <ScaleCrop>false</ScaleCrop>
  <Company/>
  <LinksUpToDate>false</LinksUpToDate>
  <CharactersWithSpaces>14910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2015-11-14T04:02:00Z</dcterms:created>
  <dcterms:modified xsi:type="dcterms:W3CDTF">2016-09-28T15:09:00Z</dcterms:modified>
</cp:coreProperties>
</file>